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446" w:type="dxa"/>
        <w:tblLook w:val="04A0" w:firstRow="1" w:lastRow="0" w:firstColumn="1" w:lastColumn="0" w:noHBand="0" w:noVBand="1"/>
      </w:tblPr>
      <w:tblGrid>
        <w:gridCol w:w="2798"/>
        <w:gridCol w:w="3718"/>
        <w:gridCol w:w="2693"/>
        <w:gridCol w:w="3119"/>
        <w:gridCol w:w="3118"/>
      </w:tblGrid>
      <w:tr w:rsidR="00E2333B" w:rsidRPr="008A3124" w:rsidTr="00F4110B">
        <w:trPr>
          <w:trHeight w:val="557"/>
        </w:trPr>
        <w:tc>
          <w:tcPr>
            <w:tcW w:w="2798" w:type="dxa"/>
          </w:tcPr>
          <w:p w:rsidR="00803BB6" w:rsidRPr="002D35BC" w:rsidRDefault="00857FAA" w:rsidP="008A3124">
            <w:pPr>
              <w:jc w:val="center"/>
              <w:rPr>
                <w:b/>
                <w:color w:val="0070C0"/>
                <w:sz w:val="24"/>
                <w:szCs w:val="24"/>
              </w:rPr>
            </w:pPr>
            <w:r w:rsidRPr="002D35BC">
              <w:rPr>
                <w:b/>
                <w:color w:val="0070C0"/>
                <w:sz w:val="24"/>
                <w:szCs w:val="24"/>
              </w:rPr>
              <w:t>Proje Adı</w:t>
            </w:r>
          </w:p>
        </w:tc>
        <w:tc>
          <w:tcPr>
            <w:tcW w:w="3718" w:type="dxa"/>
          </w:tcPr>
          <w:p w:rsidR="00803BB6" w:rsidRPr="002D35BC" w:rsidRDefault="00857FAA" w:rsidP="008A3124">
            <w:pPr>
              <w:jc w:val="center"/>
              <w:rPr>
                <w:b/>
                <w:color w:val="0070C0"/>
                <w:sz w:val="24"/>
                <w:szCs w:val="24"/>
              </w:rPr>
            </w:pPr>
            <w:r w:rsidRPr="002D35BC">
              <w:rPr>
                <w:b/>
                <w:color w:val="0070C0"/>
                <w:sz w:val="24"/>
                <w:szCs w:val="24"/>
              </w:rPr>
              <w:t>Projenin Amacı</w:t>
            </w:r>
          </w:p>
        </w:tc>
        <w:tc>
          <w:tcPr>
            <w:tcW w:w="2693" w:type="dxa"/>
          </w:tcPr>
          <w:p w:rsidR="00803BB6" w:rsidRPr="002D35BC" w:rsidRDefault="00857FAA" w:rsidP="008A3124">
            <w:pPr>
              <w:jc w:val="center"/>
              <w:rPr>
                <w:b/>
                <w:color w:val="0070C0"/>
                <w:sz w:val="24"/>
                <w:szCs w:val="24"/>
              </w:rPr>
            </w:pPr>
            <w:r w:rsidRPr="002D35BC">
              <w:rPr>
                <w:b/>
                <w:color w:val="0070C0"/>
                <w:sz w:val="24"/>
                <w:szCs w:val="24"/>
              </w:rPr>
              <w:t>Proje Süresi</w:t>
            </w:r>
          </w:p>
        </w:tc>
        <w:tc>
          <w:tcPr>
            <w:tcW w:w="3119" w:type="dxa"/>
          </w:tcPr>
          <w:p w:rsidR="00803BB6" w:rsidRPr="002D35BC" w:rsidRDefault="00857FAA" w:rsidP="008A3124">
            <w:pPr>
              <w:jc w:val="center"/>
              <w:rPr>
                <w:b/>
                <w:color w:val="0070C0"/>
                <w:sz w:val="24"/>
                <w:szCs w:val="24"/>
              </w:rPr>
            </w:pPr>
            <w:r w:rsidRPr="002D35BC">
              <w:rPr>
                <w:b/>
                <w:color w:val="0070C0"/>
                <w:sz w:val="24"/>
                <w:szCs w:val="24"/>
              </w:rPr>
              <w:t>Bütçe Limitleri</w:t>
            </w:r>
          </w:p>
        </w:tc>
        <w:tc>
          <w:tcPr>
            <w:tcW w:w="3118" w:type="dxa"/>
          </w:tcPr>
          <w:p w:rsidR="00803BB6" w:rsidRPr="002D35BC" w:rsidRDefault="00857FAA" w:rsidP="008A3124">
            <w:pPr>
              <w:jc w:val="center"/>
              <w:rPr>
                <w:b/>
                <w:color w:val="0070C0"/>
                <w:sz w:val="24"/>
                <w:szCs w:val="24"/>
              </w:rPr>
            </w:pPr>
            <w:r w:rsidRPr="002D35BC">
              <w:rPr>
                <w:b/>
                <w:color w:val="0070C0"/>
                <w:sz w:val="24"/>
                <w:szCs w:val="24"/>
              </w:rPr>
              <w:t>Başvuru Şekli</w:t>
            </w:r>
          </w:p>
        </w:tc>
      </w:tr>
      <w:tr w:rsidR="00E2333B" w:rsidTr="00E2333B">
        <w:tc>
          <w:tcPr>
            <w:tcW w:w="2798" w:type="dxa"/>
          </w:tcPr>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803BB6" w:rsidRPr="002D35BC" w:rsidRDefault="00857FAA" w:rsidP="002D35BC">
            <w:pPr>
              <w:jc w:val="center"/>
              <w:rPr>
                <w:color w:val="056E9F" w:themeColor="accent6" w:themeShade="80"/>
              </w:rPr>
            </w:pPr>
            <w:r w:rsidRPr="002D35BC">
              <w:rPr>
                <w:b/>
                <w:color w:val="056E9F" w:themeColor="accent6" w:themeShade="80"/>
              </w:rPr>
              <w:t>1000 -</w:t>
            </w:r>
            <w:r w:rsidRPr="002D35BC">
              <w:rPr>
                <w:color w:val="056E9F" w:themeColor="accent6" w:themeShade="80"/>
              </w:rPr>
              <w:t xml:space="preserve"> Üniversitelerin Araştırma ve Geliştirme Potansiyelinin Artırılmasına Yönelik Destek Programı</w:t>
            </w:r>
          </w:p>
        </w:tc>
        <w:tc>
          <w:tcPr>
            <w:tcW w:w="3718" w:type="dxa"/>
          </w:tcPr>
          <w:p w:rsidR="002D35BC" w:rsidRDefault="002D35BC" w:rsidP="002D35BC">
            <w:pPr>
              <w:jc w:val="center"/>
            </w:pPr>
          </w:p>
          <w:p w:rsidR="002D35BC" w:rsidRDefault="002D35BC" w:rsidP="002D35BC">
            <w:pPr>
              <w:jc w:val="center"/>
            </w:pPr>
          </w:p>
          <w:p w:rsidR="00803BB6" w:rsidRDefault="00857FAA" w:rsidP="002D35BC">
            <w:pPr>
              <w:jc w:val="center"/>
            </w:pPr>
            <w:r w:rsidRPr="00857FAA">
              <w:t>Bu programın amacı, üniversitelerin Ar-Ge potansiyellerinin artırılmasına yönelik belirlenecek çağrı başlıkları kapsamındaki projelerin desteklenmesidir.</w:t>
            </w:r>
          </w:p>
        </w:tc>
        <w:tc>
          <w:tcPr>
            <w:tcW w:w="2693" w:type="dxa"/>
          </w:tcPr>
          <w:p w:rsidR="002D35BC" w:rsidRDefault="002D35BC" w:rsidP="002D35BC">
            <w:pPr>
              <w:jc w:val="center"/>
            </w:pPr>
          </w:p>
          <w:p w:rsidR="002D35BC" w:rsidRDefault="002D35BC" w:rsidP="002D35BC">
            <w:pPr>
              <w:jc w:val="center"/>
            </w:pPr>
          </w:p>
          <w:p w:rsidR="002D35BC" w:rsidRDefault="002D35BC" w:rsidP="002D35BC">
            <w:pPr>
              <w:jc w:val="center"/>
            </w:pPr>
          </w:p>
          <w:p w:rsidR="00803BB6" w:rsidRDefault="00857FAA" w:rsidP="002D35BC">
            <w:pPr>
              <w:jc w:val="center"/>
            </w:pPr>
            <w:r w:rsidRPr="00857FAA">
              <w:t>Proje süresinin üst sınırı çağrı duyurusunda belirtilir, ancak 36 ayı geçemez.</w:t>
            </w:r>
          </w:p>
        </w:tc>
        <w:tc>
          <w:tcPr>
            <w:tcW w:w="3119" w:type="dxa"/>
          </w:tcPr>
          <w:p w:rsidR="002D35BC" w:rsidRDefault="002D35BC" w:rsidP="002D35BC">
            <w:pPr>
              <w:jc w:val="center"/>
            </w:pPr>
          </w:p>
          <w:p w:rsidR="002D35BC" w:rsidRDefault="002D35BC" w:rsidP="002D35BC">
            <w:pPr>
              <w:jc w:val="center"/>
            </w:pPr>
          </w:p>
          <w:p w:rsidR="002D35BC" w:rsidRDefault="002D35BC" w:rsidP="002D35BC">
            <w:pPr>
              <w:jc w:val="center"/>
            </w:pPr>
          </w:p>
          <w:p w:rsidR="00803BB6" w:rsidRDefault="00857FAA" w:rsidP="002D35BC">
            <w:pPr>
              <w:jc w:val="center"/>
            </w:pPr>
            <w:r w:rsidRPr="00857FAA">
              <w:t>Proje bütçesinin üst sınırı ve bütçe ile ilgili diğer hususlar çağrı duyurusunda belirtilir.</w:t>
            </w:r>
          </w:p>
        </w:tc>
        <w:tc>
          <w:tcPr>
            <w:tcW w:w="3118" w:type="dxa"/>
          </w:tcPr>
          <w:p w:rsidR="00803BB6" w:rsidRDefault="00857FAA" w:rsidP="002D35BC">
            <w:pPr>
              <w:jc w:val="center"/>
            </w:pPr>
            <w:r w:rsidRPr="00857FAA">
              <w:t xml:space="preserve">Program çağrılı sistemle çevrimiçi başvuru almaktadır. Üniversitelerin Ar-Ge potansiyelinin artırılmasına yönelik çıkılacak çağrı başlıkları, başvuru koşulları, çağrı usulü ve </w:t>
            </w:r>
            <w:bookmarkStart w:id="0" w:name="_GoBack"/>
            <w:r w:rsidRPr="00857FAA">
              <w:t xml:space="preserve">çağrıya özel diğer </w:t>
            </w:r>
            <w:bookmarkEnd w:id="0"/>
            <w:r w:rsidRPr="00857FAA">
              <w:t>hususlar Başkanlık tarafından belirlenerek ilan edilir.</w:t>
            </w:r>
          </w:p>
        </w:tc>
      </w:tr>
      <w:tr w:rsidR="00E2333B" w:rsidTr="00E2333B">
        <w:tc>
          <w:tcPr>
            <w:tcW w:w="2798" w:type="dxa"/>
          </w:tcPr>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803BB6" w:rsidRPr="002D35BC" w:rsidRDefault="008A3124" w:rsidP="002D35BC">
            <w:pPr>
              <w:jc w:val="center"/>
              <w:rPr>
                <w:color w:val="056E9F" w:themeColor="accent6" w:themeShade="80"/>
              </w:rPr>
            </w:pPr>
            <w:r w:rsidRPr="002D35BC">
              <w:rPr>
                <w:b/>
                <w:color w:val="056E9F" w:themeColor="accent6" w:themeShade="80"/>
              </w:rPr>
              <w:t>1001 -</w:t>
            </w:r>
            <w:r w:rsidRPr="002D35BC">
              <w:rPr>
                <w:color w:val="056E9F" w:themeColor="accent6" w:themeShade="80"/>
              </w:rPr>
              <w:t xml:space="preserve"> Bilimsel ve Teknolojik Araştırma Projelerini Destekleme Programı</w:t>
            </w:r>
          </w:p>
        </w:tc>
        <w:tc>
          <w:tcPr>
            <w:tcW w:w="3718" w:type="dxa"/>
          </w:tcPr>
          <w:p w:rsidR="002D35BC" w:rsidRDefault="002D35BC" w:rsidP="002D35BC">
            <w:pPr>
              <w:jc w:val="center"/>
            </w:pPr>
          </w:p>
          <w:p w:rsidR="00803BB6" w:rsidRDefault="008A3124" w:rsidP="002D35BC">
            <w:pPr>
              <w:jc w:val="center"/>
            </w:pPr>
            <w:r w:rsidRPr="008A3124">
              <w:t>Bilimsel ve Teknolojik Araştırma Projelerini Destekleme Programının amacı, yeni bilgiler üretilmesi, bilimsel yorumların yapılması veya teknolojik problemlerin çözümlenmesi için bilimsel esaslara uygun olan projeler desteklemektir.</w:t>
            </w:r>
          </w:p>
        </w:tc>
        <w:tc>
          <w:tcPr>
            <w:tcW w:w="2693" w:type="dxa"/>
          </w:tcPr>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803BB6" w:rsidRDefault="00574CCB" w:rsidP="002D35BC">
            <w:pPr>
              <w:jc w:val="center"/>
            </w:pPr>
            <w:r w:rsidRPr="00574CCB">
              <w:t>Proje süresi en fazla 36 aydır</w:t>
            </w:r>
            <w:r>
              <w:t>.</w:t>
            </w:r>
          </w:p>
        </w:tc>
        <w:tc>
          <w:tcPr>
            <w:tcW w:w="3119" w:type="dxa"/>
          </w:tcPr>
          <w:p w:rsidR="00803BB6" w:rsidRDefault="00574CCB" w:rsidP="002D35BC">
            <w:pPr>
              <w:jc w:val="center"/>
            </w:pPr>
            <w:r w:rsidRPr="00574CCB">
              <w:t xml:space="preserve">2015 yılı için, Araştırma projeleri destek üst limiti (Burs </w:t>
            </w:r>
            <w:proofErr w:type="gramStart"/>
            <w:r w:rsidRPr="00574CCB">
              <w:t>dahil</w:t>
            </w:r>
            <w:proofErr w:type="gramEnd"/>
            <w:r w:rsidRPr="00574CCB">
              <w:t>, Proje Teşvik İkramiyesi (PTİ), Kurum hissesi ve yurtdışı araştırmacı giderleri hariç) yıllık bütçe sınırlaması olmaksızın 360.000 TL’dir.</w:t>
            </w:r>
            <w:r>
              <w:t xml:space="preserve"> </w:t>
            </w:r>
            <w:r w:rsidRPr="00574CCB">
              <w:t>Makine-teçhizat taleplerinin toplam bütçe ile dengeli olması gözetilir.</w:t>
            </w:r>
          </w:p>
        </w:tc>
        <w:tc>
          <w:tcPr>
            <w:tcW w:w="3118" w:type="dxa"/>
          </w:tcPr>
          <w:p w:rsidR="002D35BC" w:rsidRDefault="002D35BC" w:rsidP="002D35BC">
            <w:pPr>
              <w:jc w:val="center"/>
            </w:pPr>
          </w:p>
          <w:p w:rsidR="002D35BC" w:rsidRDefault="002D35BC" w:rsidP="002D35BC">
            <w:pPr>
              <w:jc w:val="center"/>
            </w:pPr>
          </w:p>
          <w:p w:rsidR="00803BB6" w:rsidRDefault="00574CCB" w:rsidP="002D35BC">
            <w:pPr>
              <w:jc w:val="center"/>
            </w:pPr>
            <w:r w:rsidRPr="00574CCB">
              <w:t>Altyapı oluşturmaya yönelik olan projeler desteklenmez.</w:t>
            </w:r>
            <w:r w:rsidR="009E5B6A">
              <w:t xml:space="preserve"> </w:t>
            </w:r>
            <w:r w:rsidR="009E5B6A" w:rsidRPr="009E5B6A">
              <w:t>Detaylı bilgi için http://www.tubitak.gov.tr adresine bakınız.</w:t>
            </w:r>
          </w:p>
        </w:tc>
      </w:tr>
      <w:tr w:rsidR="00E2333B" w:rsidTr="00E2333B">
        <w:tc>
          <w:tcPr>
            <w:tcW w:w="2798" w:type="dxa"/>
          </w:tcPr>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803BB6" w:rsidRPr="002D35BC" w:rsidRDefault="00953843" w:rsidP="002D35BC">
            <w:pPr>
              <w:jc w:val="center"/>
              <w:rPr>
                <w:color w:val="056E9F" w:themeColor="accent6" w:themeShade="80"/>
              </w:rPr>
            </w:pPr>
            <w:r w:rsidRPr="002D35BC">
              <w:rPr>
                <w:b/>
                <w:color w:val="056E9F" w:themeColor="accent6" w:themeShade="80"/>
              </w:rPr>
              <w:t>1002 -</w:t>
            </w:r>
            <w:r w:rsidRPr="002D35BC">
              <w:rPr>
                <w:color w:val="056E9F" w:themeColor="accent6" w:themeShade="80"/>
              </w:rPr>
              <w:t xml:space="preserve"> Hızlı Destek Programı</w:t>
            </w:r>
          </w:p>
        </w:tc>
        <w:tc>
          <w:tcPr>
            <w:tcW w:w="3718" w:type="dxa"/>
          </w:tcPr>
          <w:p w:rsidR="00803BB6" w:rsidRDefault="00953843" w:rsidP="002D35BC">
            <w:pPr>
              <w:jc w:val="center"/>
            </w:pPr>
            <w:r w:rsidRPr="00953843">
              <w:t>Hızlı Destek Programının amacı, üniversitelerde, araştırma hastanelerinde ve araştırma enstitülerinde/istasyonlarında yürütülecek acil, kısa süreli, küçük bütçeli araştırma ve geliştirme projelerine destek sağlamaktır</w:t>
            </w:r>
          </w:p>
        </w:tc>
        <w:tc>
          <w:tcPr>
            <w:tcW w:w="2693" w:type="dxa"/>
          </w:tcPr>
          <w:p w:rsidR="002D35BC" w:rsidRDefault="002D35BC" w:rsidP="002D35BC">
            <w:pPr>
              <w:jc w:val="center"/>
            </w:pPr>
          </w:p>
          <w:p w:rsidR="002D35BC" w:rsidRDefault="002D35BC" w:rsidP="002D35BC">
            <w:pPr>
              <w:jc w:val="center"/>
            </w:pPr>
          </w:p>
          <w:p w:rsidR="002D35BC" w:rsidRDefault="002D35BC" w:rsidP="002D35BC">
            <w:pPr>
              <w:jc w:val="center"/>
            </w:pPr>
          </w:p>
          <w:p w:rsidR="00803BB6" w:rsidRDefault="00953843" w:rsidP="002D35BC">
            <w:pPr>
              <w:jc w:val="center"/>
            </w:pPr>
            <w:r w:rsidRPr="00953843">
              <w:t>Proje süresi en fazla 12 ay olabilir.</w:t>
            </w:r>
          </w:p>
        </w:tc>
        <w:tc>
          <w:tcPr>
            <w:tcW w:w="3119" w:type="dxa"/>
          </w:tcPr>
          <w:p w:rsidR="00803BB6" w:rsidRDefault="00953843" w:rsidP="002D35BC">
            <w:pPr>
              <w:jc w:val="center"/>
            </w:pPr>
            <w:r w:rsidRPr="00953843">
              <w:t xml:space="preserve">2015 yılı için, Hızlı Destek projeleri destek üst limiti (Burs </w:t>
            </w:r>
            <w:proofErr w:type="gramStart"/>
            <w:r w:rsidRPr="00953843">
              <w:t>dahil</w:t>
            </w:r>
            <w:proofErr w:type="gramEnd"/>
            <w:r w:rsidRPr="00953843">
              <w:t>) yıllık 30.000 TL’dir. 1 Ocak 2008 tarihinden sonra yapılan proje başvurularında, yürütücü ve araştırmacılara PTİ ödemesi yapılmamaktadır.</w:t>
            </w:r>
          </w:p>
        </w:tc>
        <w:tc>
          <w:tcPr>
            <w:tcW w:w="3118" w:type="dxa"/>
          </w:tcPr>
          <w:p w:rsidR="002D35BC" w:rsidRDefault="002D35BC" w:rsidP="002D35BC">
            <w:pPr>
              <w:jc w:val="center"/>
            </w:pPr>
          </w:p>
          <w:p w:rsidR="002D35BC" w:rsidRDefault="002D35BC" w:rsidP="002D35BC">
            <w:pPr>
              <w:jc w:val="center"/>
            </w:pPr>
          </w:p>
          <w:p w:rsidR="00803BB6" w:rsidRDefault="009E5B6A" w:rsidP="002D35BC">
            <w:pPr>
              <w:jc w:val="center"/>
            </w:pPr>
            <w:r w:rsidRPr="009E5B6A">
              <w:t>Detaylı bilgi için http://www.tubitak.gov.tr adresine bakınız.</w:t>
            </w:r>
          </w:p>
        </w:tc>
      </w:tr>
      <w:tr w:rsidR="009E5B6A" w:rsidTr="00E2333B">
        <w:tc>
          <w:tcPr>
            <w:tcW w:w="2798" w:type="dxa"/>
          </w:tcPr>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953843" w:rsidRPr="002D35BC" w:rsidRDefault="00953843" w:rsidP="002D35BC">
            <w:pPr>
              <w:jc w:val="center"/>
              <w:rPr>
                <w:color w:val="056E9F" w:themeColor="accent6" w:themeShade="80"/>
              </w:rPr>
            </w:pPr>
            <w:r w:rsidRPr="002D35BC">
              <w:rPr>
                <w:b/>
                <w:color w:val="056E9F" w:themeColor="accent6" w:themeShade="80"/>
              </w:rPr>
              <w:t>1003 -</w:t>
            </w:r>
            <w:r w:rsidRPr="002D35BC">
              <w:rPr>
                <w:color w:val="056E9F" w:themeColor="accent6" w:themeShade="80"/>
              </w:rPr>
              <w:t xml:space="preserve"> Öncelikli Alanlar Ar-Ge Projeleri Destekleme Programı</w:t>
            </w:r>
          </w:p>
        </w:tc>
        <w:tc>
          <w:tcPr>
            <w:tcW w:w="3718" w:type="dxa"/>
          </w:tcPr>
          <w:p w:rsidR="00953843" w:rsidRPr="00953843" w:rsidRDefault="00CA2B35" w:rsidP="002D35BC">
            <w:pPr>
              <w:jc w:val="center"/>
            </w:pPr>
            <w:r w:rsidRPr="00CA2B35">
              <w:t>Bu destek programının amacı, Ulusal Bilim Teknoloji ve Yenilik Stratejisi çerçevesinde belirlenecek öncelikli alanlarda sonuç odaklı, izlenebilir hedefleri olan, ilgili bilim/teknoloji alanlarının dinamiklerini gözeten ve yurt içinde yapılan Ar-Ge projelerini desteklemek ve bu projeler arasında eşgüdüm sağlamaktır.</w:t>
            </w:r>
          </w:p>
        </w:tc>
        <w:tc>
          <w:tcPr>
            <w:tcW w:w="2693" w:type="dxa"/>
          </w:tcPr>
          <w:p w:rsidR="002D35BC" w:rsidRDefault="002D35BC" w:rsidP="002D35BC">
            <w:pPr>
              <w:jc w:val="center"/>
            </w:pPr>
          </w:p>
          <w:p w:rsidR="002D35BC" w:rsidRDefault="002D35BC" w:rsidP="002D35BC">
            <w:pPr>
              <w:jc w:val="center"/>
            </w:pPr>
          </w:p>
          <w:p w:rsidR="00CA2B35" w:rsidRDefault="00CA2B35" w:rsidP="002D35BC">
            <w:pPr>
              <w:jc w:val="center"/>
            </w:pPr>
            <w:r>
              <w:t>•Küçük Ölçekli projelerin süresi en fazla 24 ay,</w:t>
            </w:r>
          </w:p>
          <w:p w:rsidR="00953843" w:rsidRPr="00953843" w:rsidRDefault="00CA2B35" w:rsidP="002D35BC">
            <w:pPr>
              <w:jc w:val="center"/>
            </w:pPr>
            <w:r>
              <w:t>•Orta ve Büyük Ölçekli projelerin süresi en fazla 36 aydır.</w:t>
            </w:r>
          </w:p>
        </w:tc>
        <w:tc>
          <w:tcPr>
            <w:tcW w:w="3119" w:type="dxa"/>
          </w:tcPr>
          <w:p w:rsidR="002D35BC" w:rsidRDefault="002D35BC" w:rsidP="002D35BC">
            <w:pPr>
              <w:jc w:val="center"/>
            </w:pPr>
          </w:p>
          <w:p w:rsidR="00CA2B35" w:rsidRDefault="00CA2B35" w:rsidP="002D35BC">
            <w:pPr>
              <w:jc w:val="center"/>
            </w:pPr>
            <w:r>
              <w:t xml:space="preserve">Küçük Ölçekli </w:t>
            </w:r>
            <w:proofErr w:type="gramStart"/>
            <w:r>
              <w:t>projeler : 500</w:t>
            </w:r>
            <w:proofErr w:type="gramEnd"/>
            <w:r>
              <w:t>.000 TL’ye kadar</w:t>
            </w:r>
          </w:p>
          <w:p w:rsidR="00186961" w:rsidRDefault="00CA2B35" w:rsidP="002D35BC">
            <w:pPr>
              <w:jc w:val="center"/>
            </w:pPr>
            <w:r>
              <w:t xml:space="preserve">Orta Ölçekli </w:t>
            </w:r>
            <w:proofErr w:type="gramStart"/>
            <w:r>
              <w:t>projele</w:t>
            </w:r>
            <w:r w:rsidR="00186961">
              <w:t>r : 500</w:t>
            </w:r>
            <w:proofErr w:type="gramEnd"/>
            <w:r w:rsidR="00186961">
              <w:t>.001 - 1.000.000 TL</w:t>
            </w:r>
          </w:p>
          <w:p w:rsidR="00953843" w:rsidRPr="00953843" w:rsidRDefault="00CA2B35" w:rsidP="002D35BC">
            <w:pPr>
              <w:jc w:val="center"/>
            </w:pPr>
            <w:r>
              <w:t xml:space="preserve">Büyük Ölçekli </w:t>
            </w:r>
            <w:proofErr w:type="gramStart"/>
            <w:r>
              <w:t>projeler : 1</w:t>
            </w:r>
            <w:proofErr w:type="gramEnd"/>
            <w:r>
              <w:t>.000.001 - 2.500.000 TL</w:t>
            </w:r>
          </w:p>
        </w:tc>
        <w:tc>
          <w:tcPr>
            <w:tcW w:w="3118" w:type="dxa"/>
          </w:tcPr>
          <w:p w:rsidR="002D35BC" w:rsidRDefault="002D35BC" w:rsidP="002D35BC">
            <w:pPr>
              <w:jc w:val="center"/>
            </w:pPr>
          </w:p>
          <w:p w:rsidR="002D35BC" w:rsidRDefault="002D35BC" w:rsidP="002D35BC">
            <w:pPr>
              <w:jc w:val="center"/>
            </w:pPr>
          </w:p>
          <w:p w:rsidR="002D35BC" w:rsidRDefault="002D35BC" w:rsidP="002D35BC">
            <w:pPr>
              <w:jc w:val="center"/>
            </w:pPr>
          </w:p>
          <w:p w:rsidR="00953843" w:rsidRDefault="009E5B6A" w:rsidP="002D35BC">
            <w:pPr>
              <w:jc w:val="center"/>
            </w:pPr>
            <w:r w:rsidRPr="009E5B6A">
              <w:t>Detaylı bilgi için http://www.tubitak.gov.tr adresine bakınız.</w:t>
            </w:r>
          </w:p>
        </w:tc>
      </w:tr>
      <w:tr w:rsidR="009E5B6A" w:rsidTr="00E2333B">
        <w:tc>
          <w:tcPr>
            <w:tcW w:w="2798" w:type="dxa"/>
          </w:tcPr>
          <w:p w:rsidR="00953843" w:rsidRPr="002D35BC" w:rsidRDefault="009E5B6A" w:rsidP="002D35BC">
            <w:pPr>
              <w:jc w:val="center"/>
              <w:rPr>
                <w:color w:val="056E9F" w:themeColor="accent6" w:themeShade="80"/>
              </w:rPr>
            </w:pPr>
            <w:r w:rsidRPr="002D35BC">
              <w:rPr>
                <w:b/>
                <w:color w:val="056E9F" w:themeColor="accent6" w:themeShade="80"/>
              </w:rPr>
              <w:t>1005 -</w:t>
            </w:r>
            <w:r w:rsidRPr="002D35BC">
              <w:rPr>
                <w:color w:val="056E9F" w:themeColor="accent6" w:themeShade="80"/>
              </w:rPr>
              <w:t xml:space="preserve"> Ulusal Yeni Fikirler ve Ürünler Araştırma Destek Programı</w:t>
            </w:r>
          </w:p>
        </w:tc>
        <w:tc>
          <w:tcPr>
            <w:tcW w:w="3718" w:type="dxa"/>
          </w:tcPr>
          <w:p w:rsidR="00953843" w:rsidRPr="00953843" w:rsidRDefault="009E5B6A" w:rsidP="002D35BC">
            <w:pPr>
              <w:jc w:val="center"/>
            </w:pPr>
            <w:r w:rsidRPr="009E5B6A">
              <w:t xml:space="preserve">Programın amacı; ülkemizde ihtiyaç duyulan, teknolojik dışa bağımlılığımızı azaltacak ve/veya ülkemizin rekabet gücünü artıracak ulusal/uluslararası yeni </w:t>
            </w:r>
            <w:r w:rsidRPr="009E5B6A">
              <w:lastRenderedPageBreak/>
              <w:t>bir ürün/süreç/yöntem/model geliştirme amacına yönelik uygulamalı araştırma ve/veya deneysel geliştirme projelerinin desteklenmesidir.</w:t>
            </w:r>
          </w:p>
        </w:tc>
        <w:tc>
          <w:tcPr>
            <w:tcW w:w="2693" w:type="dxa"/>
          </w:tcPr>
          <w:p w:rsidR="002D35BC" w:rsidRDefault="002D35BC" w:rsidP="002D35BC">
            <w:pPr>
              <w:jc w:val="center"/>
            </w:pPr>
          </w:p>
          <w:p w:rsidR="00953843" w:rsidRPr="00953843" w:rsidRDefault="009E5B6A" w:rsidP="002D35BC">
            <w:pPr>
              <w:jc w:val="center"/>
            </w:pPr>
            <w:r w:rsidRPr="009E5B6A">
              <w:t>Proje süresi en fazla 18 aydır.</w:t>
            </w:r>
          </w:p>
        </w:tc>
        <w:tc>
          <w:tcPr>
            <w:tcW w:w="3119" w:type="dxa"/>
          </w:tcPr>
          <w:p w:rsidR="009E5B6A" w:rsidRDefault="009E5B6A" w:rsidP="002D35BC">
            <w:pPr>
              <w:jc w:val="center"/>
            </w:pPr>
            <w:r>
              <w:t xml:space="preserve">2015 yılı için, proje destek üst limiti (Burs </w:t>
            </w:r>
            <w:proofErr w:type="gramStart"/>
            <w:r>
              <w:t>dahil</w:t>
            </w:r>
            <w:proofErr w:type="gramEnd"/>
            <w:r>
              <w:t xml:space="preserve">, Proje Teşvik İkramiyesi (PTİ)*, Kurum hissesi ve yurtdışı araştırmacı giderleri </w:t>
            </w:r>
            <w:r>
              <w:lastRenderedPageBreak/>
              <w:t>hariç) 200.000 TL’dir. Makine-teçhizat taleplerinin toplam bütçe ile dengeli olması gözetilir. Altyapı oluşturmaya yönelik olan projeler desteklenmez.</w:t>
            </w:r>
          </w:p>
          <w:p w:rsidR="00953843" w:rsidRPr="00953843" w:rsidRDefault="009E5B6A" w:rsidP="002D35BC">
            <w:pPr>
              <w:jc w:val="center"/>
            </w:pPr>
            <w:r>
              <w:t>* Bu program kapsamında, koşullu olarak PTİ ödemesi yapılmaktadır.</w:t>
            </w:r>
          </w:p>
        </w:tc>
        <w:tc>
          <w:tcPr>
            <w:tcW w:w="3118" w:type="dxa"/>
          </w:tcPr>
          <w:p w:rsidR="00953843" w:rsidRDefault="009E5B6A" w:rsidP="002D35BC">
            <w:pPr>
              <w:jc w:val="center"/>
            </w:pPr>
            <w:r>
              <w:lastRenderedPageBreak/>
              <w:t xml:space="preserve">Detaylı bilgi için </w:t>
            </w:r>
            <w:hyperlink r:id="rId5" w:history="1">
              <w:r w:rsidRPr="004F68D1">
                <w:rPr>
                  <w:rStyle w:val="Kpr"/>
                </w:rPr>
                <w:t>http://www.tubitak.gov.tr</w:t>
              </w:r>
            </w:hyperlink>
            <w:r>
              <w:t xml:space="preserve"> adresine bakınız.</w:t>
            </w:r>
          </w:p>
        </w:tc>
      </w:tr>
      <w:tr w:rsidR="00E2333B" w:rsidTr="00E2333B">
        <w:tc>
          <w:tcPr>
            <w:tcW w:w="2798" w:type="dxa"/>
          </w:tcPr>
          <w:p w:rsidR="002D35BC" w:rsidRDefault="002D35BC" w:rsidP="002D35BC">
            <w:pPr>
              <w:jc w:val="center"/>
              <w:rPr>
                <w:b/>
                <w:color w:val="056E9F" w:themeColor="accent6" w:themeShade="80"/>
              </w:rPr>
            </w:pPr>
          </w:p>
          <w:p w:rsidR="00953843" w:rsidRPr="002D35BC" w:rsidRDefault="00751B78" w:rsidP="002D35BC">
            <w:pPr>
              <w:jc w:val="center"/>
              <w:rPr>
                <w:color w:val="056E9F" w:themeColor="accent6" w:themeShade="80"/>
              </w:rPr>
            </w:pPr>
            <w:r w:rsidRPr="002D35BC">
              <w:rPr>
                <w:b/>
                <w:color w:val="056E9F" w:themeColor="accent6" w:themeShade="80"/>
              </w:rPr>
              <w:t>1007-</w:t>
            </w:r>
            <w:r w:rsidRPr="002D35BC">
              <w:rPr>
                <w:color w:val="056E9F" w:themeColor="accent6" w:themeShade="80"/>
              </w:rPr>
              <w:t>Kamu Kurumları Araştırma ve Geliştirme Projelerini Destekleme Programı</w:t>
            </w:r>
          </w:p>
        </w:tc>
        <w:tc>
          <w:tcPr>
            <w:tcW w:w="3718" w:type="dxa"/>
          </w:tcPr>
          <w:p w:rsidR="002D35BC" w:rsidRDefault="002D35BC" w:rsidP="002D35BC">
            <w:pPr>
              <w:jc w:val="center"/>
            </w:pPr>
          </w:p>
          <w:p w:rsidR="00953843" w:rsidRPr="00953843" w:rsidRDefault="00751B78" w:rsidP="002D35BC">
            <w:pPr>
              <w:jc w:val="center"/>
            </w:pPr>
            <w:r>
              <w:t>Kamu kurumlarının Ar-Ge ile giderilebilecek ihtiyaçlarının karşılanması ya da sorunlarının çözüme kavuşturulması amaçlanmaktadır.</w:t>
            </w:r>
          </w:p>
        </w:tc>
        <w:tc>
          <w:tcPr>
            <w:tcW w:w="2693" w:type="dxa"/>
          </w:tcPr>
          <w:p w:rsidR="00953843" w:rsidRPr="00953843" w:rsidRDefault="00A35538" w:rsidP="002D35BC">
            <w:pPr>
              <w:jc w:val="center"/>
            </w:pPr>
            <w:r w:rsidRPr="00A35538">
              <w:t>1007 Programı kapsamında sunulan projelerin Ar-Ge süresi en fazla 48 aydır. Ancak, bu süreler değerlendirme sürecinde GYK onayı ile arttırılabilir.</w:t>
            </w:r>
          </w:p>
        </w:tc>
        <w:tc>
          <w:tcPr>
            <w:tcW w:w="3119" w:type="dxa"/>
          </w:tcPr>
          <w:p w:rsidR="002D35BC" w:rsidRDefault="002D35BC" w:rsidP="002D35BC">
            <w:pPr>
              <w:jc w:val="center"/>
            </w:pPr>
          </w:p>
          <w:p w:rsidR="00953843" w:rsidRPr="00953843" w:rsidRDefault="001C7B97" w:rsidP="002D35BC">
            <w:pPr>
              <w:jc w:val="center"/>
            </w:pPr>
            <w:r w:rsidRPr="001C7B97">
              <w:t>Desteklenecek projeler için bütçe üst limit bulunmamakta olup çağrı dokümanlarında projeye özel limitler getirilebilmektedir.</w:t>
            </w:r>
          </w:p>
        </w:tc>
        <w:tc>
          <w:tcPr>
            <w:tcW w:w="3118" w:type="dxa"/>
          </w:tcPr>
          <w:p w:rsidR="002D35BC" w:rsidRDefault="002D35BC" w:rsidP="002D35BC">
            <w:pPr>
              <w:jc w:val="center"/>
            </w:pPr>
          </w:p>
          <w:p w:rsidR="002D35BC" w:rsidRDefault="002D35BC" w:rsidP="002D35BC">
            <w:pPr>
              <w:jc w:val="center"/>
            </w:pPr>
          </w:p>
          <w:p w:rsidR="00953843" w:rsidRDefault="009317FE" w:rsidP="002D35BC">
            <w:pPr>
              <w:jc w:val="center"/>
            </w:pPr>
            <w:r w:rsidRPr="009317FE">
              <w:t>Detaylı bilgi için http://www.tubitak.gov.tr adresine bakınız.</w:t>
            </w:r>
          </w:p>
        </w:tc>
      </w:tr>
      <w:tr w:rsidR="00E2333B" w:rsidTr="00E2333B">
        <w:tc>
          <w:tcPr>
            <w:tcW w:w="2798" w:type="dxa"/>
          </w:tcPr>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953843" w:rsidRPr="002D35BC" w:rsidRDefault="009034A4" w:rsidP="002D35BC">
            <w:pPr>
              <w:jc w:val="center"/>
              <w:rPr>
                <w:color w:val="056E9F" w:themeColor="accent6" w:themeShade="80"/>
              </w:rPr>
            </w:pPr>
            <w:r w:rsidRPr="002D35BC">
              <w:rPr>
                <w:b/>
                <w:color w:val="056E9F" w:themeColor="accent6" w:themeShade="80"/>
              </w:rPr>
              <w:t>1505</w:t>
            </w:r>
            <w:r w:rsidR="002D35BC">
              <w:rPr>
                <w:b/>
                <w:color w:val="056E9F" w:themeColor="accent6" w:themeShade="80"/>
              </w:rPr>
              <w:t>-</w:t>
            </w:r>
            <w:r w:rsidRPr="002D35BC">
              <w:rPr>
                <w:b/>
                <w:color w:val="056E9F" w:themeColor="accent6" w:themeShade="80"/>
              </w:rPr>
              <w:t xml:space="preserve"> </w:t>
            </w:r>
            <w:r w:rsidRPr="002D35BC">
              <w:rPr>
                <w:color w:val="056E9F" w:themeColor="accent6" w:themeShade="80"/>
              </w:rPr>
              <w:t>Üniversite-Sanayi İşbirliği Destek Programı</w:t>
            </w:r>
          </w:p>
        </w:tc>
        <w:tc>
          <w:tcPr>
            <w:tcW w:w="3718" w:type="dxa"/>
          </w:tcPr>
          <w:p w:rsidR="00953843" w:rsidRPr="00953843" w:rsidRDefault="009034A4" w:rsidP="002D35BC">
            <w:pPr>
              <w:jc w:val="center"/>
            </w:pPr>
            <w:r w:rsidRPr="009034A4">
              <w:t>TÜBİTAK 1505 Üniversite-Sanayi İşbirliği Destek Programının amacı, üniversite/kamu araştırma merkez ve enstitülerindeki bilgi birikimi ve teknolojinin, Türkiye’de yerleşik ve proje sonuçlarını Türkiye’de uygulamayı taahhüt eden kuruluşların ihtiyaçları doğrultusunda, ürüne ya da sürece dönüştürülerek sanayiye aktarılması yoluyla ticarileştirilmesine katkı sağlamaktır.</w:t>
            </w:r>
          </w:p>
        </w:tc>
        <w:tc>
          <w:tcPr>
            <w:tcW w:w="2693" w:type="dxa"/>
          </w:tcPr>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953843" w:rsidRPr="00953843" w:rsidRDefault="00B84BD9" w:rsidP="002D35BC">
            <w:pPr>
              <w:jc w:val="center"/>
            </w:pPr>
            <w:r w:rsidRPr="00B84BD9">
              <w:t>Destek süresi proje bazında en fazla 24 aydır.</w:t>
            </w:r>
          </w:p>
        </w:tc>
        <w:tc>
          <w:tcPr>
            <w:tcW w:w="3119" w:type="dxa"/>
          </w:tcPr>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953843" w:rsidRPr="00953843" w:rsidRDefault="00B84BD9" w:rsidP="002D35BC">
            <w:pPr>
              <w:jc w:val="center"/>
            </w:pPr>
            <w:r w:rsidRPr="00B84BD9">
              <w:t xml:space="preserve">Önerilen projenin bütçesi Proje Teşvik İkramiyesi (PTİ) ve Kurum Hissesi hariç en fazla 1.000.000.-TL ( bir milyon) </w:t>
            </w:r>
            <w:proofErr w:type="spellStart"/>
            <w:r w:rsidRPr="00B84BD9">
              <w:t>dir</w:t>
            </w:r>
            <w:proofErr w:type="spellEnd"/>
            <w:r w:rsidRPr="00B84BD9">
              <w:t>.</w:t>
            </w:r>
          </w:p>
        </w:tc>
        <w:tc>
          <w:tcPr>
            <w:tcW w:w="3118" w:type="dxa"/>
          </w:tcPr>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953843" w:rsidRDefault="00E2333B" w:rsidP="002D35BC">
            <w:pPr>
              <w:jc w:val="center"/>
            </w:pPr>
            <w:r w:rsidRPr="00E2333B">
              <w:t>Detaylı bilgi için http://www.tubitak.gov.tr adresine bakınız.</w:t>
            </w:r>
          </w:p>
        </w:tc>
      </w:tr>
      <w:tr w:rsidR="009E5B6A" w:rsidTr="00E2333B">
        <w:tc>
          <w:tcPr>
            <w:tcW w:w="2798" w:type="dxa"/>
          </w:tcPr>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953843" w:rsidRPr="002D35BC" w:rsidRDefault="00CB5E9C" w:rsidP="002D35BC">
            <w:pPr>
              <w:jc w:val="center"/>
              <w:rPr>
                <w:color w:val="056E9F" w:themeColor="accent6" w:themeShade="80"/>
              </w:rPr>
            </w:pPr>
            <w:r w:rsidRPr="002D35BC">
              <w:rPr>
                <w:b/>
                <w:color w:val="056E9F" w:themeColor="accent6" w:themeShade="80"/>
              </w:rPr>
              <w:t>1513</w:t>
            </w:r>
            <w:r w:rsidR="002D35BC" w:rsidRPr="002D35BC">
              <w:rPr>
                <w:b/>
                <w:color w:val="056E9F" w:themeColor="accent6" w:themeShade="80"/>
              </w:rPr>
              <w:t>-</w:t>
            </w:r>
            <w:r w:rsidRPr="002D35BC">
              <w:rPr>
                <w:color w:val="056E9F" w:themeColor="accent6" w:themeShade="80"/>
              </w:rPr>
              <w:t xml:space="preserve"> </w:t>
            </w:r>
            <w:r w:rsidR="00913D6E" w:rsidRPr="002D35BC">
              <w:rPr>
                <w:color w:val="056E9F" w:themeColor="accent6" w:themeShade="80"/>
              </w:rPr>
              <w:t>Teknoloji Transfer Ofisleri Destekleme Programı</w:t>
            </w:r>
          </w:p>
        </w:tc>
        <w:tc>
          <w:tcPr>
            <w:tcW w:w="3718" w:type="dxa"/>
          </w:tcPr>
          <w:p w:rsidR="00953843" w:rsidRPr="00953843" w:rsidRDefault="00C87D28" w:rsidP="002D35BC">
            <w:pPr>
              <w:jc w:val="center"/>
            </w:pPr>
            <w:r>
              <w:t xml:space="preserve">Yükseköğretim Kurumları bünyesinde kurulmuş veya </w:t>
            </w:r>
            <w:r w:rsidRPr="00C87D28">
              <w:t>kurulacak teknoloji transfer ofislerinin (TTO) geri ödemesiz (hibe) o</w:t>
            </w:r>
            <w:r>
              <w:t>larak desteklenmesi hedeflenmektedir.</w:t>
            </w:r>
          </w:p>
        </w:tc>
        <w:tc>
          <w:tcPr>
            <w:tcW w:w="2693" w:type="dxa"/>
          </w:tcPr>
          <w:p w:rsidR="00953843" w:rsidRPr="00953843" w:rsidRDefault="00DE351A" w:rsidP="002D35BC">
            <w:pPr>
              <w:jc w:val="center"/>
            </w:pPr>
            <w:r w:rsidRPr="00DE351A">
              <w:t>Proje destek süresi proje başlangıç tarihinden itibaren en fazla 5 yıldır. Ancak bu süre Yürütme Komitesi kararı ve Başkanlık onayı ile en fazla 5 yıl daha uzatılabilir.</w:t>
            </w:r>
          </w:p>
        </w:tc>
        <w:tc>
          <w:tcPr>
            <w:tcW w:w="3119" w:type="dxa"/>
          </w:tcPr>
          <w:p w:rsidR="002D35BC" w:rsidRDefault="002D35BC" w:rsidP="002D35BC">
            <w:pPr>
              <w:jc w:val="center"/>
            </w:pPr>
          </w:p>
          <w:p w:rsidR="002D35BC" w:rsidRDefault="002D35BC" w:rsidP="002D35BC">
            <w:pPr>
              <w:jc w:val="center"/>
            </w:pPr>
          </w:p>
          <w:p w:rsidR="00953843" w:rsidRPr="00953843" w:rsidRDefault="00CB5E9C" w:rsidP="002D35BC">
            <w:pPr>
              <w:jc w:val="center"/>
            </w:pPr>
            <w:r w:rsidRPr="00CB5E9C">
              <w:t>Destek tutarı üst limiti yıllık 1.000.000.-TL olup hibe şeklindedir.</w:t>
            </w:r>
          </w:p>
        </w:tc>
        <w:tc>
          <w:tcPr>
            <w:tcW w:w="3118" w:type="dxa"/>
          </w:tcPr>
          <w:p w:rsidR="002D35BC" w:rsidRDefault="002D35BC" w:rsidP="002D35BC">
            <w:pPr>
              <w:jc w:val="center"/>
            </w:pPr>
          </w:p>
          <w:p w:rsidR="002D35BC" w:rsidRDefault="002D35BC" w:rsidP="002D35BC">
            <w:pPr>
              <w:jc w:val="center"/>
            </w:pPr>
          </w:p>
          <w:p w:rsidR="00953843" w:rsidRDefault="00E2333B" w:rsidP="002D35BC">
            <w:pPr>
              <w:jc w:val="center"/>
            </w:pPr>
            <w:r w:rsidRPr="00E2333B">
              <w:t>Detaylı bilgi için http://www.tubitak.gov.tr adresine bakınız.</w:t>
            </w:r>
          </w:p>
        </w:tc>
      </w:tr>
      <w:tr w:rsidR="00CB5E9C" w:rsidTr="00E2333B">
        <w:tc>
          <w:tcPr>
            <w:tcW w:w="2798" w:type="dxa"/>
          </w:tcPr>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CB5E9C" w:rsidRPr="002D35BC" w:rsidRDefault="00CB5E9C" w:rsidP="002D35BC">
            <w:pPr>
              <w:jc w:val="center"/>
              <w:rPr>
                <w:color w:val="056E9F" w:themeColor="accent6" w:themeShade="80"/>
              </w:rPr>
            </w:pPr>
            <w:r w:rsidRPr="002D35BC">
              <w:rPr>
                <w:b/>
                <w:color w:val="056E9F" w:themeColor="accent6" w:themeShade="80"/>
              </w:rPr>
              <w:t>3001 -</w:t>
            </w:r>
            <w:r w:rsidRPr="002D35BC">
              <w:rPr>
                <w:color w:val="056E9F" w:themeColor="accent6" w:themeShade="80"/>
              </w:rPr>
              <w:t xml:space="preserve"> Başlangıç Ar-Ge Projeleri Destekleme Programı</w:t>
            </w:r>
          </w:p>
        </w:tc>
        <w:tc>
          <w:tcPr>
            <w:tcW w:w="3718" w:type="dxa"/>
          </w:tcPr>
          <w:p w:rsidR="00CB5E9C" w:rsidRDefault="00CB5E9C" w:rsidP="002D35BC">
            <w:pPr>
              <w:jc w:val="center"/>
            </w:pPr>
            <w:r w:rsidRPr="00CB5E9C">
              <w:t xml:space="preserve">Programın amacı, Ar-Ge projesi hazırlama ve yürütme kültürünün yaygınlaşmasını sağlamak için, ARDEB tarafından desteklenen projelerde yürütücü olarak görev almamış olan, üniversite, kamu kurum/kuruluşu veya özel kuruluşlardaki araştırmacıların sunacakları Ar-Ge projelerini </w:t>
            </w:r>
            <w:r w:rsidRPr="00CB5E9C">
              <w:lastRenderedPageBreak/>
              <w:t>desteklemektir.</w:t>
            </w:r>
          </w:p>
        </w:tc>
        <w:tc>
          <w:tcPr>
            <w:tcW w:w="2693" w:type="dxa"/>
          </w:tcPr>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CB5E9C" w:rsidRPr="00DE351A" w:rsidRDefault="00CB5E9C" w:rsidP="002D35BC">
            <w:pPr>
              <w:jc w:val="center"/>
            </w:pPr>
            <w:r w:rsidRPr="00CB5E9C">
              <w:t>Proje süresi en fazla 24 aydır</w:t>
            </w:r>
          </w:p>
        </w:tc>
        <w:tc>
          <w:tcPr>
            <w:tcW w:w="3119" w:type="dxa"/>
          </w:tcPr>
          <w:p w:rsidR="002D35BC" w:rsidRDefault="002D35BC" w:rsidP="002D35BC">
            <w:pPr>
              <w:jc w:val="center"/>
            </w:pPr>
          </w:p>
          <w:p w:rsidR="00CB5E9C" w:rsidRPr="00CB5E9C" w:rsidRDefault="00CB5E9C" w:rsidP="002D35BC">
            <w:pPr>
              <w:jc w:val="center"/>
            </w:pPr>
            <w:r w:rsidRPr="00CB5E9C">
              <w:t>2015 yılı için, Başlangıç Ar-Ge Projeleri destek üst limiti (Proje Teşvik İkramiyesi (PTİ)* ve Kurum Hissesi hariç) yıllık bütçe sınırlaması olmaksızın toplam 60.000 TL’dir.</w:t>
            </w:r>
          </w:p>
        </w:tc>
        <w:tc>
          <w:tcPr>
            <w:tcW w:w="3118" w:type="dxa"/>
          </w:tcPr>
          <w:p w:rsidR="002D35BC" w:rsidRDefault="002D35BC" w:rsidP="002D35BC">
            <w:pPr>
              <w:jc w:val="center"/>
            </w:pPr>
          </w:p>
          <w:p w:rsidR="002D35BC" w:rsidRDefault="002D35BC" w:rsidP="002D35BC">
            <w:pPr>
              <w:jc w:val="center"/>
            </w:pPr>
          </w:p>
          <w:p w:rsidR="00CB5E9C" w:rsidRDefault="00E2333B" w:rsidP="002D35BC">
            <w:pPr>
              <w:jc w:val="center"/>
            </w:pPr>
            <w:r w:rsidRPr="00E2333B">
              <w:t>Detaylı bilgi için http://www.tubitak.gov.tr adresine bakınız.</w:t>
            </w:r>
          </w:p>
        </w:tc>
      </w:tr>
      <w:tr w:rsidR="00CB5E9C" w:rsidTr="00E2333B">
        <w:tc>
          <w:tcPr>
            <w:tcW w:w="2798" w:type="dxa"/>
          </w:tcPr>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2D35BC" w:rsidRDefault="002D35BC" w:rsidP="002D35BC">
            <w:pPr>
              <w:jc w:val="center"/>
              <w:rPr>
                <w:b/>
                <w:color w:val="056E9F" w:themeColor="accent6" w:themeShade="80"/>
              </w:rPr>
            </w:pPr>
          </w:p>
          <w:p w:rsidR="00CB5E9C" w:rsidRPr="002D35BC" w:rsidRDefault="00CB5E9C" w:rsidP="002D35BC">
            <w:pPr>
              <w:jc w:val="center"/>
              <w:rPr>
                <w:color w:val="056E9F" w:themeColor="accent6" w:themeShade="80"/>
              </w:rPr>
            </w:pPr>
            <w:r w:rsidRPr="002D35BC">
              <w:rPr>
                <w:b/>
                <w:color w:val="056E9F" w:themeColor="accent6" w:themeShade="80"/>
              </w:rPr>
              <w:t>3501 -</w:t>
            </w:r>
            <w:r w:rsidRPr="002D35BC">
              <w:rPr>
                <w:color w:val="056E9F" w:themeColor="accent6" w:themeShade="80"/>
              </w:rPr>
              <w:t xml:space="preserve"> Kariyer Geliştirme Programı</w:t>
            </w:r>
          </w:p>
        </w:tc>
        <w:tc>
          <w:tcPr>
            <w:tcW w:w="3718" w:type="dxa"/>
          </w:tcPr>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CB5E9C" w:rsidRPr="00CB5E9C" w:rsidRDefault="00CB5E9C" w:rsidP="002D35BC">
            <w:pPr>
              <w:jc w:val="center"/>
            </w:pPr>
            <w:r>
              <w:t>K</w:t>
            </w:r>
            <w:r w:rsidRPr="00CB5E9C">
              <w:t>ariyerlerine yeni başlayan doktoralı bilim insanlarının çalışmalarını proje desteği vererek teşvik etmektir.</w:t>
            </w:r>
          </w:p>
        </w:tc>
        <w:tc>
          <w:tcPr>
            <w:tcW w:w="2693" w:type="dxa"/>
          </w:tcPr>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CB5E9C" w:rsidRPr="00CB5E9C" w:rsidRDefault="00CB5E9C" w:rsidP="002D35BC">
            <w:pPr>
              <w:jc w:val="center"/>
            </w:pPr>
            <w:r w:rsidRPr="00CB5E9C">
              <w:t>Proje süresi en fazla 36 aydır.</w:t>
            </w:r>
          </w:p>
        </w:tc>
        <w:tc>
          <w:tcPr>
            <w:tcW w:w="3119" w:type="dxa"/>
          </w:tcPr>
          <w:p w:rsidR="00D0125C" w:rsidRDefault="00D0125C" w:rsidP="002D35BC">
            <w:pPr>
              <w:jc w:val="center"/>
            </w:pPr>
            <w:r>
              <w:t xml:space="preserve">2015 yılı için, KARİYER projeleri destek üst limiti (Burs </w:t>
            </w:r>
            <w:proofErr w:type="gramStart"/>
            <w:r>
              <w:t>dahil</w:t>
            </w:r>
            <w:proofErr w:type="gramEnd"/>
            <w:r>
              <w:t>, Proje Teşvik İkramiyesi (PTİ), Kurum hissesi ve yurtdışı araştırmacı giderleri hariç) yıllık bütçe sınırlaması olmaksızın 225.000 TL'dir.</w:t>
            </w:r>
          </w:p>
          <w:p w:rsidR="00D0125C" w:rsidRDefault="00D0125C" w:rsidP="002D35BC">
            <w:pPr>
              <w:jc w:val="center"/>
            </w:pPr>
          </w:p>
          <w:p w:rsidR="00CB5E9C" w:rsidRPr="00CB5E9C" w:rsidRDefault="00D0125C" w:rsidP="002D35BC">
            <w:pPr>
              <w:jc w:val="center"/>
            </w:pPr>
            <w:r>
              <w:t>Makine-teçhizat taleplerinin toplam bütçe ile dengeli olması gözetilir. Altyapı oluşturmaya yönelik olan projeler desteklenmez.</w:t>
            </w:r>
          </w:p>
        </w:tc>
        <w:tc>
          <w:tcPr>
            <w:tcW w:w="3118" w:type="dxa"/>
          </w:tcPr>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2D35BC" w:rsidRDefault="002D35BC" w:rsidP="002D35BC">
            <w:pPr>
              <w:jc w:val="center"/>
            </w:pPr>
          </w:p>
          <w:p w:rsidR="00CB5E9C" w:rsidRDefault="00E2333B" w:rsidP="002D35BC">
            <w:pPr>
              <w:jc w:val="center"/>
            </w:pPr>
            <w:r w:rsidRPr="00E2333B">
              <w:t>Detaylı bilgi için http://www.tubitak.gov.tr adresine bakınız.</w:t>
            </w:r>
          </w:p>
        </w:tc>
      </w:tr>
    </w:tbl>
    <w:p w:rsidR="00DE116B" w:rsidRDefault="00DE116B"/>
    <w:sectPr w:rsidR="00DE116B" w:rsidSect="00E233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A5"/>
    <w:rsid w:val="00186961"/>
    <w:rsid w:val="001C7B97"/>
    <w:rsid w:val="00282CA5"/>
    <w:rsid w:val="002D35BC"/>
    <w:rsid w:val="0033547E"/>
    <w:rsid w:val="0044698F"/>
    <w:rsid w:val="00574CCB"/>
    <w:rsid w:val="00751B78"/>
    <w:rsid w:val="00803BB6"/>
    <w:rsid w:val="00857FAA"/>
    <w:rsid w:val="008A3124"/>
    <w:rsid w:val="009034A4"/>
    <w:rsid w:val="00913D6E"/>
    <w:rsid w:val="009317FE"/>
    <w:rsid w:val="00953843"/>
    <w:rsid w:val="009E5B6A"/>
    <w:rsid w:val="00A35538"/>
    <w:rsid w:val="00B84BD9"/>
    <w:rsid w:val="00C87D28"/>
    <w:rsid w:val="00CA2B35"/>
    <w:rsid w:val="00CB5E9C"/>
    <w:rsid w:val="00D0125C"/>
    <w:rsid w:val="00DE116B"/>
    <w:rsid w:val="00DE351A"/>
    <w:rsid w:val="00E2333B"/>
    <w:rsid w:val="00F41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tr-T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8F"/>
  </w:style>
  <w:style w:type="paragraph" w:styleId="Balk1">
    <w:name w:val="heading 1"/>
    <w:basedOn w:val="Normal"/>
    <w:next w:val="Normal"/>
    <w:link w:val="Balk1Char"/>
    <w:uiPriority w:val="9"/>
    <w:qFormat/>
    <w:rsid w:val="0044698F"/>
    <w:pPr>
      <w:keepNext/>
      <w:keepLines/>
      <w:spacing w:before="320" w:after="80" w:line="240" w:lineRule="auto"/>
      <w:jc w:val="center"/>
      <w:outlineLvl w:val="0"/>
    </w:pPr>
    <w:rPr>
      <w:rFonts w:asciiTheme="majorHAnsi" w:eastAsiaTheme="majorEastAsia" w:hAnsiTheme="majorHAnsi" w:cstheme="majorBidi"/>
      <w:color w:val="729928" w:themeColor="accent1" w:themeShade="BF"/>
      <w:sz w:val="40"/>
      <w:szCs w:val="40"/>
    </w:rPr>
  </w:style>
  <w:style w:type="paragraph" w:styleId="Balk2">
    <w:name w:val="heading 2"/>
    <w:basedOn w:val="Normal"/>
    <w:next w:val="Normal"/>
    <w:link w:val="Balk2Char"/>
    <w:uiPriority w:val="9"/>
    <w:semiHidden/>
    <w:unhideWhenUsed/>
    <w:qFormat/>
    <w:rsid w:val="0044698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semiHidden/>
    <w:unhideWhenUsed/>
    <w:qFormat/>
    <w:rsid w:val="0044698F"/>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44698F"/>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44698F"/>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44698F"/>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44698F"/>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44698F"/>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44698F"/>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698F"/>
    <w:rPr>
      <w:rFonts w:asciiTheme="majorHAnsi" w:eastAsiaTheme="majorEastAsia" w:hAnsiTheme="majorHAnsi" w:cstheme="majorBidi"/>
      <w:color w:val="729928" w:themeColor="accent1" w:themeShade="BF"/>
      <w:sz w:val="40"/>
      <w:szCs w:val="40"/>
    </w:rPr>
  </w:style>
  <w:style w:type="character" w:customStyle="1" w:styleId="Balk2Char">
    <w:name w:val="Başlık 2 Char"/>
    <w:basedOn w:val="VarsaylanParagrafYazTipi"/>
    <w:link w:val="Balk2"/>
    <w:uiPriority w:val="9"/>
    <w:semiHidden/>
    <w:rsid w:val="0044698F"/>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semiHidden/>
    <w:rsid w:val="0044698F"/>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44698F"/>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44698F"/>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44698F"/>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44698F"/>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44698F"/>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44698F"/>
    <w:rPr>
      <w:b/>
      <w:bCs/>
      <w:i/>
      <w:iCs/>
    </w:rPr>
  </w:style>
  <w:style w:type="paragraph" w:styleId="ResimYazs">
    <w:name w:val="caption"/>
    <w:basedOn w:val="Normal"/>
    <w:next w:val="Normal"/>
    <w:uiPriority w:val="35"/>
    <w:semiHidden/>
    <w:unhideWhenUsed/>
    <w:qFormat/>
    <w:rsid w:val="0044698F"/>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44698F"/>
    <w:pPr>
      <w:pBdr>
        <w:top w:val="single" w:sz="6" w:space="8" w:color="37A76F" w:themeColor="accent3"/>
        <w:bottom w:val="single" w:sz="6" w:space="8" w:color="37A76F"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KonuBalChar">
    <w:name w:val="Konu Başlığı Char"/>
    <w:basedOn w:val="VarsaylanParagrafYazTipi"/>
    <w:link w:val="KonuBal"/>
    <w:uiPriority w:val="10"/>
    <w:rsid w:val="0044698F"/>
    <w:rPr>
      <w:rFonts w:asciiTheme="majorHAnsi" w:eastAsiaTheme="majorEastAsia" w:hAnsiTheme="majorHAnsi" w:cstheme="majorBidi"/>
      <w:caps/>
      <w:color w:val="455F51" w:themeColor="text2"/>
      <w:spacing w:val="30"/>
      <w:sz w:val="72"/>
      <w:szCs w:val="72"/>
    </w:rPr>
  </w:style>
  <w:style w:type="paragraph" w:styleId="AltKonuBal">
    <w:name w:val="Subtitle"/>
    <w:basedOn w:val="Normal"/>
    <w:next w:val="Normal"/>
    <w:link w:val="AltKonuBalChar"/>
    <w:uiPriority w:val="11"/>
    <w:qFormat/>
    <w:rsid w:val="0044698F"/>
    <w:pPr>
      <w:numPr>
        <w:ilvl w:val="1"/>
      </w:numPr>
      <w:jc w:val="center"/>
    </w:pPr>
    <w:rPr>
      <w:color w:val="455F51" w:themeColor="text2"/>
      <w:sz w:val="28"/>
      <w:szCs w:val="28"/>
    </w:rPr>
  </w:style>
  <w:style w:type="character" w:customStyle="1" w:styleId="AltKonuBalChar">
    <w:name w:val="Alt Konu Başlığı Char"/>
    <w:basedOn w:val="VarsaylanParagrafYazTipi"/>
    <w:link w:val="AltKonuBal"/>
    <w:uiPriority w:val="11"/>
    <w:rsid w:val="0044698F"/>
    <w:rPr>
      <w:color w:val="455F51" w:themeColor="text2"/>
      <w:sz w:val="28"/>
      <w:szCs w:val="28"/>
    </w:rPr>
  </w:style>
  <w:style w:type="character" w:styleId="Gl">
    <w:name w:val="Strong"/>
    <w:basedOn w:val="VarsaylanParagrafYazTipi"/>
    <w:uiPriority w:val="22"/>
    <w:qFormat/>
    <w:rsid w:val="0044698F"/>
    <w:rPr>
      <w:b/>
      <w:bCs/>
    </w:rPr>
  </w:style>
  <w:style w:type="character" w:styleId="Vurgu">
    <w:name w:val="Emphasis"/>
    <w:basedOn w:val="VarsaylanParagrafYazTipi"/>
    <w:uiPriority w:val="20"/>
    <w:qFormat/>
    <w:rsid w:val="0044698F"/>
    <w:rPr>
      <w:i/>
      <w:iCs/>
      <w:color w:val="000000" w:themeColor="text1"/>
    </w:rPr>
  </w:style>
  <w:style w:type="paragraph" w:styleId="AralkYok">
    <w:name w:val="No Spacing"/>
    <w:uiPriority w:val="1"/>
    <w:qFormat/>
    <w:rsid w:val="0044698F"/>
    <w:pPr>
      <w:spacing w:after="0" w:line="240" w:lineRule="auto"/>
    </w:pPr>
  </w:style>
  <w:style w:type="paragraph" w:styleId="Trnak">
    <w:name w:val="Quote"/>
    <w:basedOn w:val="Normal"/>
    <w:next w:val="Normal"/>
    <w:link w:val="TrnakChar"/>
    <w:uiPriority w:val="29"/>
    <w:qFormat/>
    <w:rsid w:val="0044698F"/>
    <w:pPr>
      <w:spacing w:before="160"/>
      <w:ind w:left="720" w:right="720"/>
      <w:jc w:val="center"/>
    </w:pPr>
    <w:rPr>
      <w:i/>
      <w:iCs/>
      <w:color w:val="297C52" w:themeColor="accent3" w:themeShade="BF"/>
      <w:sz w:val="24"/>
      <w:szCs w:val="24"/>
    </w:rPr>
  </w:style>
  <w:style w:type="character" w:customStyle="1" w:styleId="TrnakChar">
    <w:name w:val="Tırnak Char"/>
    <w:basedOn w:val="VarsaylanParagrafYazTipi"/>
    <w:link w:val="Trnak"/>
    <w:uiPriority w:val="29"/>
    <w:rsid w:val="0044698F"/>
    <w:rPr>
      <w:i/>
      <w:iCs/>
      <w:color w:val="297C52" w:themeColor="accent3" w:themeShade="BF"/>
      <w:sz w:val="24"/>
      <w:szCs w:val="24"/>
    </w:rPr>
  </w:style>
  <w:style w:type="paragraph" w:styleId="KeskinTrnak">
    <w:name w:val="Intense Quote"/>
    <w:basedOn w:val="Normal"/>
    <w:next w:val="Normal"/>
    <w:link w:val="KeskinTrnakChar"/>
    <w:uiPriority w:val="30"/>
    <w:qFormat/>
    <w:rsid w:val="0044698F"/>
    <w:pPr>
      <w:spacing w:before="160" w:line="276" w:lineRule="auto"/>
      <w:ind w:left="936" w:right="936"/>
      <w:jc w:val="center"/>
    </w:pPr>
    <w:rPr>
      <w:rFonts w:asciiTheme="majorHAnsi" w:eastAsiaTheme="majorEastAsia" w:hAnsiTheme="majorHAnsi" w:cstheme="majorBidi"/>
      <w:caps/>
      <w:color w:val="729928" w:themeColor="accent1" w:themeShade="BF"/>
      <w:sz w:val="28"/>
      <w:szCs w:val="28"/>
    </w:rPr>
  </w:style>
  <w:style w:type="character" w:customStyle="1" w:styleId="KeskinTrnakChar">
    <w:name w:val="Keskin Tırnak Char"/>
    <w:basedOn w:val="VarsaylanParagrafYazTipi"/>
    <w:link w:val="KeskinTrnak"/>
    <w:uiPriority w:val="30"/>
    <w:rsid w:val="0044698F"/>
    <w:rPr>
      <w:rFonts w:asciiTheme="majorHAnsi" w:eastAsiaTheme="majorEastAsia" w:hAnsiTheme="majorHAnsi" w:cstheme="majorBidi"/>
      <w:caps/>
      <w:color w:val="729928" w:themeColor="accent1" w:themeShade="BF"/>
      <w:sz w:val="28"/>
      <w:szCs w:val="28"/>
    </w:rPr>
  </w:style>
  <w:style w:type="character" w:styleId="HafifVurgulama">
    <w:name w:val="Subtle Emphasis"/>
    <w:basedOn w:val="VarsaylanParagrafYazTipi"/>
    <w:uiPriority w:val="19"/>
    <w:qFormat/>
    <w:rsid w:val="0044698F"/>
    <w:rPr>
      <w:i/>
      <w:iCs/>
      <w:color w:val="595959" w:themeColor="text1" w:themeTint="A6"/>
    </w:rPr>
  </w:style>
  <w:style w:type="character" w:styleId="GlVurgulama">
    <w:name w:val="Intense Emphasis"/>
    <w:basedOn w:val="VarsaylanParagrafYazTipi"/>
    <w:uiPriority w:val="21"/>
    <w:qFormat/>
    <w:rsid w:val="0044698F"/>
    <w:rPr>
      <w:b/>
      <w:bCs/>
      <w:i/>
      <w:iCs/>
      <w:color w:val="auto"/>
    </w:rPr>
  </w:style>
  <w:style w:type="character" w:styleId="HafifBavuru">
    <w:name w:val="Subtle Reference"/>
    <w:basedOn w:val="VarsaylanParagrafYazTipi"/>
    <w:uiPriority w:val="31"/>
    <w:qFormat/>
    <w:rsid w:val="0044698F"/>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44698F"/>
    <w:rPr>
      <w:b/>
      <w:bCs/>
      <w:caps w:val="0"/>
      <w:smallCaps/>
      <w:color w:val="auto"/>
      <w:spacing w:val="0"/>
      <w:u w:val="single"/>
    </w:rPr>
  </w:style>
  <w:style w:type="character" w:styleId="KitapBal">
    <w:name w:val="Book Title"/>
    <w:basedOn w:val="VarsaylanParagrafYazTipi"/>
    <w:uiPriority w:val="33"/>
    <w:qFormat/>
    <w:rsid w:val="0044698F"/>
    <w:rPr>
      <w:b/>
      <w:bCs/>
      <w:caps w:val="0"/>
      <w:smallCaps/>
      <w:spacing w:val="0"/>
    </w:rPr>
  </w:style>
  <w:style w:type="paragraph" w:styleId="TBal">
    <w:name w:val="TOC Heading"/>
    <w:basedOn w:val="Balk1"/>
    <w:next w:val="Normal"/>
    <w:uiPriority w:val="39"/>
    <w:semiHidden/>
    <w:unhideWhenUsed/>
    <w:qFormat/>
    <w:rsid w:val="0044698F"/>
    <w:pPr>
      <w:outlineLvl w:val="9"/>
    </w:pPr>
  </w:style>
  <w:style w:type="table" w:styleId="TabloKlavuzu">
    <w:name w:val="Table Grid"/>
    <w:basedOn w:val="NormalTablo"/>
    <w:uiPriority w:val="39"/>
    <w:rsid w:val="0080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E5B6A"/>
    <w:rPr>
      <w:color w:val="EE7B0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tr-T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8F"/>
  </w:style>
  <w:style w:type="paragraph" w:styleId="Balk1">
    <w:name w:val="heading 1"/>
    <w:basedOn w:val="Normal"/>
    <w:next w:val="Normal"/>
    <w:link w:val="Balk1Char"/>
    <w:uiPriority w:val="9"/>
    <w:qFormat/>
    <w:rsid w:val="0044698F"/>
    <w:pPr>
      <w:keepNext/>
      <w:keepLines/>
      <w:spacing w:before="320" w:after="80" w:line="240" w:lineRule="auto"/>
      <w:jc w:val="center"/>
      <w:outlineLvl w:val="0"/>
    </w:pPr>
    <w:rPr>
      <w:rFonts w:asciiTheme="majorHAnsi" w:eastAsiaTheme="majorEastAsia" w:hAnsiTheme="majorHAnsi" w:cstheme="majorBidi"/>
      <w:color w:val="729928" w:themeColor="accent1" w:themeShade="BF"/>
      <w:sz w:val="40"/>
      <w:szCs w:val="40"/>
    </w:rPr>
  </w:style>
  <w:style w:type="paragraph" w:styleId="Balk2">
    <w:name w:val="heading 2"/>
    <w:basedOn w:val="Normal"/>
    <w:next w:val="Normal"/>
    <w:link w:val="Balk2Char"/>
    <w:uiPriority w:val="9"/>
    <w:semiHidden/>
    <w:unhideWhenUsed/>
    <w:qFormat/>
    <w:rsid w:val="0044698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semiHidden/>
    <w:unhideWhenUsed/>
    <w:qFormat/>
    <w:rsid w:val="0044698F"/>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44698F"/>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44698F"/>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44698F"/>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44698F"/>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44698F"/>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44698F"/>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698F"/>
    <w:rPr>
      <w:rFonts w:asciiTheme="majorHAnsi" w:eastAsiaTheme="majorEastAsia" w:hAnsiTheme="majorHAnsi" w:cstheme="majorBidi"/>
      <w:color w:val="729928" w:themeColor="accent1" w:themeShade="BF"/>
      <w:sz w:val="40"/>
      <w:szCs w:val="40"/>
    </w:rPr>
  </w:style>
  <w:style w:type="character" w:customStyle="1" w:styleId="Balk2Char">
    <w:name w:val="Başlık 2 Char"/>
    <w:basedOn w:val="VarsaylanParagrafYazTipi"/>
    <w:link w:val="Balk2"/>
    <w:uiPriority w:val="9"/>
    <w:semiHidden/>
    <w:rsid w:val="0044698F"/>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semiHidden/>
    <w:rsid w:val="0044698F"/>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44698F"/>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44698F"/>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44698F"/>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44698F"/>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44698F"/>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44698F"/>
    <w:rPr>
      <w:b/>
      <w:bCs/>
      <w:i/>
      <w:iCs/>
    </w:rPr>
  </w:style>
  <w:style w:type="paragraph" w:styleId="ResimYazs">
    <w:name w:val="caption"/>
    <w:basedOn w:val="Normal"/>
    <w:next w:val="Normal"/>
    <w:uiPriority w:val="35"/>
    <w:semiHidden/>
    <w:unhideWhenUsed/>
    <w:qFormat/>
    <w:rsid w:val="0044698F"/>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44698F"/>
    <w:pPr>
      <w:pBdr>
        <w:top w:val="single" w:sz="6" w:space="8" w:color="37A76F" w:themeColor="accent3"/>
        <w:bottom w:val="single" w:sz="6" w:space="8" w:color="37A76F"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KonuBalChar">
    <w:name w:val="Konu Başlığı Char"/>
    <w:basedOn w:val="VarsaylanParagrafYazTipi"/>
    <w:link w:val="KonuBal"/>
    <w:uiPriority w:val="10"/>
    <w:rsid w:val="0044698F"/>
    <w:rPr>
      <w:rFonts w:asciiTheme="majorHAnsi" w:eastAsiaTheme="majorEastAsia" w:hAnsiTheme="majorHAnsi" w:cstheme="majorBidi"/>
      <w:caps/>
      <w:color w:val="455F51" w:themeColor="text2"/>
      <w:spacing w:val="30"/>
      <w:sz w:val="72"/>
      <w:szCs w:val="72"/>
    </w:rPr>
  </w:style>
  <w:style w:type="paragraph" w:styleId="AltKonuBal">
    <w:name w:val="Subtitle"/>
    <w:basedOn w:val="Normal"/>
    <w:next w:val="Normal"/>
    <w:link w:val="AltKonuBalChar"/>
    <w:uiPriority w:val="11"/>
    <w:qFormat/>
    <w:rsid w:val="0044698F"/>
    <w:pPr>
      <w:numPr>
        <w:ilvl w:val="1"/>
      </w:numPr>
      <w:jc w:val="center"/>
    </w:pPr>
    <w:rPr>
      <w:color w:val="455F51" w:themeColor="text2"/>
      <w:sz w:val="28"/>
      <w:szCs w:val="28"/>
    </w:rPr>
  </w:style>
  <w:style w:type="character" w:customStyle="1" w:styleId="AltKonuBalChar">
    <w:name w:val="Alt Konu Başlığı Char"/>
    <w:basedOn w:val="VarsaylanParagrafYazTipi"/>
    <w:link w:val="AltKonuBal"/>
    <w:uiPriority w:val="11"/>
    <w:rsid w:val="0044698F"/>
    <w:rPr>
      <w:color w:val="455F51" w:themeColor="text2"/>
      <w:sz w:val="28"/>
      <w:szCs w:val="28"/>
    </w:rPr>
  </w:style>
  <w:style w:type="character" w:styleId="Gl">
    <w:name w:val="Strong"/>
    <w:basedOn w:val="VarsaylanParagrafYazTipi"/>
    <w:uiPriority w:val="22"/>
    <w:qFormat/>
    <w:rsid w:val="0044698F"/>
    <w:rPr>
      <w:b/>
      <w:bCs/>
    </w:rPr>
  </w:style>
  <w:style w:type="character" w:styleId="Vurgu">
    <w:name w:val="Emphasis"/>
    <w:basedOn w:val="VarsaylanParagrafYazTipi"/>
    <w:uiPriority w:val="20"/>
    <w:qFormat/>
    <w:rsid w:val="0044698F"/>
    <w:rPr>
      <w:i/>
      <w:iCs/>
      <w:color w:val="000000" w:themeColor="text1"/>
    </w:rPr>
  </w:style>
  <w:style w:type="paragraph" w:styleId="AralkYok">
    <w:name w:val="No Spacing"/>
    <w:uiPriority w:val="1"/>
    <w:qFormat/>
    <w:rsid w:val="0044698F"/>
    <w:pPr>
      <w:spacing w:after="0" w:line="240" w:lineRule="auto"/>
    </w:pPr>
  </w:style>
  <w:style w:type="paragraph" w:styleId="Trnak">
    <w:name w:val="Quote"/>
    <w:basedOn w:val="Normal"/>
    <w:next w:val="Normal"/>
    <w:link w:val="TrnakChar"/>
    <w:uiPriority w:val="29"/>
    <w:qFormat/>
    <w:rsid w:val="0044698F"/>
    <w:pPr>
      <w:spacing w:before="160"/>
      <w:ind w:left="720" w:right="720"/>
      <w:jc w:val="center"/>
    </w:pPr>
    <w:rPr>
      <w:i/>
      <w:iCs/>
      <w:color w:val="297C52" w:themeColor="accent3" w:themeShade="BF"/>
      <w:sz w:val="24"/>
      <w:szCs w:val="24"/>
    </w:rPr>
  </w:style>
  <w:style w:type="character" w:customStyle="1" w:styleId="TrnakChar">
    <w:name w:val="Tırnak Char"/>
    <w:basedOn w:val="VarsaylanParagrafYazTipi"/>
    <w:link w:val="Trnak"/>
    <w:uiPriority w:val="29"/>
    <w:rsid w:val="0044698F"/>
    <w:rPr>
      <w:i/>
      <w:iCs/>
      <w:color w:val="297C52" w:themeColor="accent3" w:themeShade="BF"/>
      <w:sz w:val="24"/>
      <w:szCs w:val="24"/>
    </w:rPr>
  </w:style>
  <w:style w:type="paragraph" w:styleId="KeskinTrnak">
    <w:name w:val="Intense Quote"/>
    <w:basedOn w:val="Normal"/>
    <w:next w:val="Normal"/>
    <w:link w:val="KeskinTrnakChar"/>
    <w:uiPriority w:val="30"/>
    <w:qFormat/>
    <w:rsid w:val="0044698F"/>
    <w:pPr>
      <w:spacing w:before="160" w:line="276" w:lineRule="auto"/>
      <w:ind w:left="936" w:right="936"/>
      <w:jc w:val="center"/>
    </w:pPr>
    <w:rPr>
      <w:rFonts w:asciiTheme="majorHAnsi" w:eastAsiaTheme="majorEastAsia" w:hAnsiTheme="majorHAnsi" w:cstheme="majorBidi"/>
      <w:caps/>
      <w:color w:val="729928" w:themeColor="accent1" w:themeShade="BF"/>
      <w:sz w:val="28"/>
      <w:szCs w:val="28"/>
    </w:rPr>
  </w:style>
  <w:style w:type="character" w:customStyle="1" w:styleId="KeskinTrnakChar">
    <w:name w:val="Keskin Tırnak Char"/>
    <w:basedOn w:val="VarsaylanParagrafYazTipi"/>
    <w:link w:val="KeskinTrnak"/>
    <w:uiPriority w:val="30"/>
    <w:rsid w:val="0044698F"/>
    <w:rPr>
      <w:rFonts w:asciiTheme="majorHAnsi" w:eastAsiaTheme="majorEastAsia" w:hAnsiTheme="majorHAnsi" w:cstheme="majorBidi"/>
      <w:caps/>
      <w:color w:val="729928" w:themeColor="accent1" w:themeShade="BF"/>
      <w:sz w:val="28"/>
      <w:szCs w:val="28"/>
    </w:rPr>
  </w:style>
  <w:style w:type="character" w:styleId="HafifVurgulama">
    <w:name w:val="Subtle Emphasis"/>
    <w:basedOn w:val="VarsaylanParagrafYazTipi"/>
    <w:uiPriority w:val="19"/>
    <w:qFormat/>
    <w:rsid w:val="0044698F"/>
    <w:rPr>
      <w:i/>
      <w:iCs/>
      <w:color w:val="595959" w:themeColor="text1" w:themeTint="A6"/>
    </w:rPr>
  </w:style>
  <w:style w:type="character" w:styleId="GlVurgulama">
    <w:name w:val="Intense Emphasis"/>
    <w:basedOn w:val="VarsaylanParagrafYazTipi"/>
    <w:uiPriority w:val="21"/>
    <w:qFormat/>
    <w:rsid w:val="0044698F"/>
    <w:rPr>
      <w:b/>
      <w:bCs/>
      <w:i/>
      <w:iCs/>
      <w:color w:val="auto"/>
    </w:rPr>
  </w:style>
  <w:style w:type="character" w:styleId="HafifBavuru">
    <w:name w:val="Subtle Reference"/>
    <w:basedOn w:val="VarsaylanParagrafYazTipi"/>
    <w:uiPriority w:val="31"/>
    <w:qFormat/>
    <w:rsid w:val="0044698F"/>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44698F"/>
    <w:rPr>
      <w:b/>
      <w:bCs/>
      <w:caps w:val="0"/>
      <w:smallCaps/>
      <w:color w:val="auto"/>
      <w:spacing w:val="0"/>
      <w:u w:val="single"/>
    </w:rPr>
  </w:style>
  <w:style w:type="character" w:styleId="KitapBal">
    <w:name w:val="Book Title"/>
    <w:basedOn w:val="VarsaylanParagrafYazTipi"/>
    <w:uiPriority w:val="33"/>
    <w:qFormat/>
    <w:rsid w:val="0044698F"/>
    <w:rPr>
      <w:b/>
      <w:bCs/>
      <w:caps w:val="0"/>
      <w:smallCaps/>
      <w:spacing w:val="0"/>
    </w:rPr>
  </w:style>
  <w:style w:type="paragraph" w:styleId="TBal">
    <w:name w:val="TOC Heading"/>
    <w:basedOn w:val="Balk1"/>
    <w:next w:val="Normal"/>
    <w:uiPriority w:val="39"/>
    <w:semiHidden/>
    <w:unhideWhenUsed/>
    <w:qFormat/>
    <w:rsid w:val="0044698F"/>
    <w:pPr>
      <w:outlineLvl w:val="9"/>
    </w:pPr>
  </w:style>
  <w:style w:type="table" w:styleId="TabloKlavuzu">
    <w:name w:val="Table Grid"/>
    <w:basedOn w:val="NormalTablo"/>
    <w:uiPriority w:val="39"/>
    <w:rsid w:val="0080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E5B6A"/>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bita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çe Yerleştirilmiş">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SELAMİ KEÇECİ</dc:creator>
  <cp:lastModifiedBy>pc</cp:lastModifiedBy>
  <cp:revision>2</cp:revision>
  <cp:lastPrinted>2015-03-25T07:43:00Z</cp:lastPrinted>
  <dcterms:created xsi:type="dcterms:W3CDTF">2015-11-16T13:36:00Z</dcterms:created>
  <dcterms:modified xsi:type="dcterms:W3CDTF">2015-11-16T13:36:00Z</dcterms:modified>
</cp:coreProperties>
</file>